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4F" w:rsidRPr="008E376C" w:rsidRDefault="00D32E6D" w:rsidP="00B52FD2">
      <w:pPr>
        <w:spacing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9.6.2021</w:t>
      </w:r>
    </w:p>
    <w:p w:rsidR="00540808" w:rsidRPr="00540808" w:rsidRDefault="00540808" w:rsidP="00540808">
      <w:pPr>
        <w:rPr>
          <w:rFonts w:cs="David"/>
          <w:sz w:val="24"/>
          <w:szCs w:val="24"/>
          <w:rtl/>
        </w:rPr>
      </w:pPr>
      <w:r w:rsidRPr="00540808">
        <w:rPr>
          <w:rFonts w:cs="David" w:hint="cs"/>
          <w:sz w:val="24"/>
          <w:szCs w:val="24"/>
          <w:rtl/>
        </w:rPr>
        <w:t>לכבוד:</w:t>
      </w:r>
    </w:p>
    <w:p w:rsidR="00540808" w:rsidRPr="00540808" w:rsidRDefault="0042604D" w:rsidP="0042604D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גב' מאיה אשכנזי</w:t>
      </w:r>
      <w:r w:rsidR="00540808" w:rsidRPr="00540808">
        <w:rPr>
          <w:rFonts w:cs="David" w:hint="cs"/>
          <w:sz w:val="24"/>
          <w:szCs w:val="24"/>
          <w:rtl/>
        </w:rPr>
        <w:t xml:space="preserve"> </w:t>
      </w:r>
      <w:r w:rsidR="00540808" w:rsidRPr="00540808">
        <w:rPr>
          <w:rFonts w:cs="David"/>
          <w:sz w:val="24"/>
          <w:szCs w:val="24"/>
          <w:rtl/>
        </w:rPr>
        <w:t>–</w:t>
      </w:r>
      <w:r w:rsidR="00540808" w:rsidRPr="00540808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מנהלת מחלקת תחבורה ציבורית, מ.א. מטה יהודה</w:t>
      </w:r>
    </w:p>
    <w:p w:rsidR="00540808" w:rsidRDefault="00540808" w:rsidP="00540808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3F7B28" w:rsidRPr="00EA6D9B" w:rsidRDefault="00873ACC" w:rsidP="00540808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הנדון</w:t>
      </w:r>
      <w:r w:rsidR="00EA6D9B">
        <w:rPr>
          <w:rFonts w:cs="David" w:hint="cs"/>
          <w:b/>
          <w:bCs/>
          <w:sz w:val="24"/>
          <w:szCs w:val="24"/>
          <w:u w:val="single"/>
          <w:rtl/>
        </w:rPr>
        <w:t xml:space="preserve">: </w:t>
      </w:r>
      <w:r w:rsidR="00540808">
        <w:rPr>
          <w:rFonts w:ascii="David" w:hAnsi="David" w:cs="David" w:hint="cs"/>
          <w:b/>
          <w:bCs/>
          <w:sz w:val="24"/>
          <w:szCs w:val="24"/>
          <w:u w:val="single"/>
          <w:rtl/>
        </w:rPr>
        <w:t>פתיחת נתיב העדפה בכניסה לירושלים ושינויים נדרשים בקווי האוטובוס</w:t>
      </w:r>
    </w:p>
    <w:p w:rsidR="00765EBF" w:rsidRPr="00632089" w:rsidRDefault="00765EBF" w:rsidP="005061C8">
      <w:pPr>
        <w:spacing w:after="0" w:line="360" w:lineRule="auto"/>
        <w:rPr>
          <w:rFonts w:cs="David"/>
          <w:sz w:val="24"/>
          <w:szCs w:val="24"/>
          <w:rtl/>
        </w:rPr>
      </w:pPr>
    </w:p>
    <w:p w:rsidR="00A5245B" w:rsidRDefault="00E44902" w:rsidP="00E4490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בתחילת חודש מאי 2021 נפתח המקטע המזרחי של נתיב ההעדפה החדש בכניסה לירושלים. פתיחת מקטע זה מאפשרת יצירת נתיב העדפה רציף ממחלף הארזים ועד לצומת גשר המיתרים.</w:t>
      </w:r>
    </w:p>
    <w:p w:rsidR="00E44902" w:rsidRDefault="00E44902" w:rsidP="0042604D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כיום כל קווי האוטובוס המשרתים את </w:t>
      </w:r>
      <w:r w:rsidR="0042604D">
        <w:rPr>
          <w:rFonts w:cs="David" w:hint="cs"/>
          <w:sz w:val="24"/>
          <w:szCs w:val="24"/>
          <w:rtl/>
        </w:rPr>
        <w:t>מטה יהודה</w:t>
      </w:r>
      <w:r>
        <w:rPr>
          <w:rFonts w:cs="David" w:hint="cs"/>
          <w:sz w:val="24"/>
          <w:szCs w:val="24"/>
          <w:rtl/>
        </w:rPr>
        <w:t xml:space="preserve"> עוצרים בתחנת האוטובוס בכניסה לגבעת שאול. </w:t>
      </w:r>
      <w:r w:rsidR="00B615C4">
        <w:rPr>
          <w:rFonts w:cs="David" w:hint="cs"/>
          <w:sz w:val="24"/>
          <w:szCs w:val="24"/>
          <w:rtl/>
        </w:rPr>
        <w:t xml:space="preserve">בשל עצירה זו הקווים המשרתים את </w:t>
      </w:r>
      <w:r w:rsidR="0042604D">
        <w:rPr>
          <w:rFonts w:cs="David" w:hint="cs"/>
          <w:sz w:val="24"/>
          <w:szCs w:val="24"/>
          <w:rtl/>
        </w:rPr>
        <w:t xml:space="preserve">מטה יהודה </w:t>
      </w:r>
      <w:r w:rsidR="00B615C4">
        <w:rPr>
          <w:rFonts w:cs="David" w:hint="cs"/>
          <w:sz w:val="24"/>
          <w:szCs w:val="24"/>
          <w:rtl/>
        </w:rPr>
        <w:t xml:space="preserve">אינם יכולים להיכנס לנתיב ההעדפה. מסקר שבוצע בקרב המשתמשים בקווי </w:t>
      </w:r>
      <w:r w:rsidR="0042604D">
        <w:rPr>
          <w:rFonts w:cs="David" w:hint="cs"/>
          <w:sz w:val="24"/>
          <w:szCs w:val="24"/>
          <w:rtl/>
        </w:rPr>
        <w:t>מטה יהודה</w:t>
      </w:r>
      <w:r w:rsidR="00B615C4">
        <w:rPr>
          <w:rFonts w:cs="David" w:hint="cs"/>
          <w:sz w:val="24"/>
          <w:szCs w:val="24"/>
          <w:rtl/>
        </w:rPr>
        <w:t xml:space="preserve"> עולה כי רק 2 נוסעים בממוצע יורדים בתחנת גבעת שאול. כתוצאה מכך נגרם עיכוב משמעותי לשאר הנוסעים אשר אינם יכולים להנות מקיצור זמן הנסיעה שמאפשר נתיב ההעדפה החדש.</w:t>
      </w:r>
    </w:p>
    <w:p w:rsidR="00B615C4" w:rsidRDefault="00B615C4" w:rsidP="00150ED0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על מנת לקצר את זמני הנסיעה לנוסעים </w:t>
      </w:r>
      <w:r w:rsidR="0042604D">
        <w:rPr>
          <w:rFonts w:cs="David" w:hint="cs"/>
          <w:sz w:val="24"/>
          <w:szCs w:val="24"/>
          <w:rtl/>
        </w:rPr>
        <w:t>ממטה יהודה</w:t>
      </w:r>
      <w:r>
        <w:rPr>
          <w:rFonts w:cs="David" w:hint="cs"/>
          <w:sz w:val="24"/>
          <w:szCs w:val="24"/>
          <w:rtl/>
        </w:rPr>
        <w:t xml:space="preserve">, החל מתאריך ה </w:t>
      </w:r>
      <w:r w:rsidR="00150ED0">
        <w:rPr>
          <w:rFonts w:cs="David" w:hint="cs"/>
          <w:sz w:val="24"/>
          <w:szCs w:val="24"/>
          <w:rtl/>
        </w:rPr>
        <w:t>18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>.6.2021, יבוצע שינוי כך</w:t>
      </w:r>
      <w:r w:rsidR="0042604D">
        <w:rPr>
          <w:rFonts w:cs="David" w:hint="cs"/>
          <w:sz w:val="24"/>
          <w:szCs w:val="24"/>
          <w:rtl/>
        </w:rPr>
        <w:t xml:space="preserve"> ש</w:t>
      </w:r>
      <w:r>
        <w:rPr>
          <w:rFonts w:cs="David" w:hint="cs"/>
          <w:sz w:val="24"/>
          <w:szCs w:val="24"/>
          <w:rtl/>
        </w:rPr>
        <w:t xml:space="preserve">קווים </w:t>
      </w:r>
      <w:r w:rsidR="0042604D">
        <w:rPr>
          <w:rFonts w:cs="David" w:hint="cs"/>
          <w:sz w:val="24"/>
          <w:szCs w:val="24"/>
          <w:rtl/>
        </w:rPr>
        <w:t>180 183 185</w:t>
      </w:r>
      <w:r w:rsidR="00E43A03">
        <w:rPr>
          <w:rFonts w:cs="David" w:hint="cs"/>
          <w:sz w:val="24"/>
          <w:szCs w:val="24"/>
          <w:rtl/>
        </w:rPr>
        <w:t xml:space="preserve"> 186</w:t>
      </w:r>
      <w:r w:rsidR="0042604D">
        <w:rPr>
          <w:rFonts w:cs="David" w:hint="cs"/>
          <w:sz w:val="24"/>
          <w:szCs w:val="24"/>
          <w:rtl/>
        </w:rPr>
        <w:t xml:space="preserve"> 187 188</w:t>
      </w:r>
      <w:r>
        <w:rPr>
          <w:rFonts w:cs="David" w:hint="cs"/>
          <w:sz w:val="24"/>
          <w:szCs w:val="24"/>
          <w:rtl/>
        </w:rPr>
        <w:t xml:space="preserve"> </w:t>
      </w:r>
      <w:r w:rsidR="00ED3BB1">
        <w:rPr>
          <w:rFonts w:cs="David" w:hint="cs"/>
          <w:sz w:val="24"/>
          <w:szCs w:val="24"/>
          <w:rtl/>
        </w:rPr>
        <w:t xml:space="preserve">195 </w:t>
      </w:r>
      <w:r>
        <w:rPr>
          <w:rFonts w:cs="David" w:hint="cs"/>
          <w:sz w:val="24"/>
          <w:szCs w:val="24"/>
          <w:rtl/>
        </w:rPr>
        <w:t>יעברו לנסוע בנתיב ההעדפה החדש ולא יעצרו עוד בתחנה זו.</w:t>
      </w:r>
    </w:p>
    <w:p w:rsidR="00FD354B" w:rsidRDefault="00FD354B" w:rsidP="00FD354B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נוסעים שיעדם בגבעת שאול יכולים לבצע מעבר לקווים</w:t>
      </w:r>
      <w:r w:rsidR="00AB1D5E">
        <w:rPr>
          <w:rFonts w:cs="David" w:hint="cs"/>
          <w:sz w:val="24"/>
          <w:szCs w:val="24"/>
          <w:rtl/>
        </w:rPr>
        <w:t xml:space="preserve"> 101 או</w:t>
      </w:r>
      <w:r>
        <w:rPr>
          <w:rFonts w:cs="David" w:hint="cs"/>
          <w:sz w:val="24"/>
          <w:szCs w:val="24"/>
          <w:rtl/>
        </w:rPr>
        <w:t xml:space="preserve"> 118 או  626 במחלף חמד העוברים בתוך אזור התעסוקה גבעת שאול.</w:t>
      </w:r>
    </w:p>
    <w:p w:rsidR="00B615C4" w:rsidRDefault="00B615C4" w:rsidP="00B615C4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615C4" w:rsidRDefault="00B615C4" w:rsidP="00B615C4">
      <w:pPr>
        <w:ind w:left="57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בברכה,</w:t>
      </w: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>אייל בראון</w:t>
      </w:r>
    </w:p>
    <w:p w:rsidR="00B615C4" w:rsidRPr="00E44902" w:rsidRDefault="00B615C4" w:rsidP="00B615C4">
      <w:pPr>
        <w:ind w:left="576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מ"מ מנהל תחום </w:t>
      </w:r>
      <w:proofErr w:type="spellStart"/>
      <w:r>
        <w:rPr>
          <w:rFonts w:cs="David" w:hint="cs"/>
          <w:sz w:val="24"/>
          <w:szCs w:val="24"/>
          <w:rtl/>
        </w:rPr>
        <w:t>תח"צ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מחוז ירושלים</w:t>
      </w:r>
    </w:p>
    <w:p w:rsidR="00EB4539" w:rsidRDefault="00EB4539" w:rsidP="00EB4539">
      <w:pPr>
        <w:pStyle w:val="a9"/>
        <w:spacing w:line="360" w:lineRule="auto"/>
        <w:ind w:left="826"/>
        <w:jc w:val="both"/>
        <w:rPr>
          <w:rFonts w:cs="David"/>
          <w:sz w:val="24"/>
          <w:szCs w:val="24"/>
          <w:highlight w:val="yellow"/>
        </w:rPr>
      </w:pPr>
    </w:p>
    <w:p w:rsidR="00B9422E" w:rsidRPr="00B9422E" w:rsidRDefault="00B9422E" w:rsidP="009E5298">
      <w:pPr>
        <w:pStyle w:val="a9"/>
        <w:spacing w:line="360" w:lineRule="auto"/>
        <w:ind w:left="466"/>
        <w:jc w:val="both"/>
        <w:rPr>
          <w:rFonts w:cs="David"/>
          <w:sz w:val="24"/>
          <w:szCs w:val="24"/>
          <w:rtl/>
        </w:rPr>
      </w:pPr>
    </w:p>
    <w:sectPr w:rsidR="00B9422E" w:rsidRPr="00B9422E" w:rsidSect="006F2E1C">
      <w:headerReference w:type="default" r:id="rId7"/>
      <w:footerReference w:type="default" r:id="rId8"/>
      <w:pgSz w:w="11906" w:h="16838"/>
      <w:pgMar w:top="1440" w:right="1800" w:bottom="1440" w:left="993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2B" w:rsidRDefault="00162E2B" w:rsidP="002229B1">
      <w:pPr>
        <w:spacing w:after="0" w:line="240" w:lineRule="auto"/>
      </w:pPr>
      <w:r>
        <w:separator/>
      </w:r>
    </w:p>
  </w:endnote>
  <w:endnote w:type="continuationSeparator" w:id="0">
    <w:p w:rsidR="00162E2B" w:rsidRDefault="00162E2B" w:rsidP="002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9B1" w:rsidRDefault="00AC4501" w:rsidP="002229B1">
    <w:pPr>
      <w:pStyle w:val="a5"/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4FA3842C" wp14:editId="4F127389">
          <wp:simplePos x="0" y="0"/>
          <wp:positionH relativeFrom="margin">
            <wp:posOffset>-630555</wp:posOffset>
          </wp:positionH>
          <wp:positionV relativeFrom="margin">
            <wp:posOffset>7713980</wp:posOffset>
          </wp:positionV>
          <wp:extent cx="7559040" cy="1704975"/>
          <wp:effectExtent l="19050" t="0" r="3810" b="0"/>
          <wp:wrapSquare wrapText="bothSides"/>
          <wp:docPr id="4" name="תמונה 2" descr="av_A4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_A4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0FEE" w:rsidRDefault="00870FEE" w:rsidP="002229B1">
    <w:pPr>
      <w:pStyle w:val="a5"/>
      <w:rPr>
        <w:rtl/>
      </w:rPr>
    </w:pPr>
  </w:p>
  <w:p w:rsidR="002229B1" w:rsidRDefault="002229B1" w:rsidP="002229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2B" w:rsidRDefault="00162E2B" w:rsidP="002229B1">
      <w:pPr>
        <w:spacing w:after="0" w:line="240" w:lineRule="auto"/>
      </w:pPr>
      <w:r>
        <w:separator/>
      </w:r>
    </w:p>
  </w:footnote>
  <w:footnote w:type="continuationSeparator" w:id="0">
    <w:p w:rsidR="00162E2B" w:rsidRDefault="00162E2B" w:rsidP="0022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9B1" w:rsidRDefault="003E0B20" w:rsidP="00385668">
    <w:pPr>
      <w:pStyle w:val="a3"/>
      <w:ind w:right="-284"/>
      <w:jc w:val="right"/>
    </w:pPr>
    <w:r>
      <w:rPr>
        <w:noProof/>
      </w:rPr>
      <w:drawing>
        <wp:inline distT="0" distB="0" distL="0" distR="0" wp14:anchorId="71257361" wp14:editId="44C834EF">
          <wp:extent cx="904875" cy="800904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0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29B1" w:rsidRDefault="002229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3BDC"/>
    <w:multiLevelType w:val="hybridMultilevel"/>
    <w:tmpl w:val="37D436BC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" w15:restartNumberingAfterBreak="0">
    <w:nsid w:val="207432A3"/>
    <w:multiLevelType w:val="hybridMultilevel"/>
    <w:tmpl w:val="7FA8F328"/>
    <w:lvl w:ilvl="0" w:tplc="EEDC15E4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348E7198"/>
    <w:multiLevelType w:val="multilevel"/>
    <w:tmpl w:val="CA722D90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olor w:val="auto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24"/>
      </w:pPr>
      <w:rPr>
        <w:b w:val="0"/>
        <w:bCs w:val="0"/>
        <w:i w:val="0"/>
        <w:iCs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b w:val="0"/>
        <w:bCs w:val="0"/>
        <w:i w:val="0"/>
        <w:iCs w:val="0"/>
        <w:color w:val="auto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907"/>
      </w:pPr>
      <w:rPr>
        <w:b w:val="0"/>
        <w:bCs w:val="0"/>
        <w:i w:val="0"/>
        <w:iCs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856"/>
        </w:tabs>
        <w:ind w:left="3856" w:hanging="1021"/>
      </w:pPr>
      <w:rPr>
        <w:b w:val="0"/>
        <w:bCs w:val="0"/>
        <w:i w:val="0"/>
        <w:iCs w:val="0"/>
        <w:color w:val="auto"/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90117"/>
    <w:multiLevelType w:val="hybridMultilevel"/>
    <w:tmpl w:val="B5F64C8E"/>
    <w:lvl w:ilvl="0" w:tplc="EEDC15E4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546" w:hanging="360"/>
      </w:pPr>
    </w:lvl>
    <w:lvl w:ilvl="2" w:tplc="5C5A4BFE">
      <w:start w:val="25"/>
      <w:numFmt w:val="bullet"/>
      <w:lvlText w:val="-"/>
      <w:lvlJc w:val="left"/>
      <w:pPr>
        <w:ind w:left="2446" w:hanging="360"/>
      </w:pPr>
      <w:rPr>
        <w:rFonts w:ascii="David" w:eastAsiaTheme="minorEastAsia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5A024710"/>
    <w:multiLevelType w:val="hybridMultilevel"/>
    <w:tmpl w:val="D92C23BA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B1"/>
    <w:rsid w:val="00036AA8"/>
    <w:rsid w:val="00084F5E"/>
    <w:rsid w:val="000961CD"/>
    <w:rsid w:val="000C3931"/>
    <w:rsid w:val="00150ED0"/>
    <w:rsid w:val="00162E2B"/>
    <w:rsid w:val="00181ADD"/>
    <w:rsid w:val="00194281"/>
    <w:rsid w:val="001E0020"/>
    <w:rsid w:val="001E4C1D"/>
    <w:rsid w:val="002229B1"/>
    <w:rsid w:val="002277B8"/>
    <w:rsid w:val="002415A4"/>
    <w:rsid w:val="002427E7"/>
    <w:rsid w:val="00255497"/>
    <w:rsid w:val="0025670C"/>
    <w:rsid w:val="00270EA7"/>
    <w:rsid w:val="0028524C"/>
    <w:rsid w:val="0028725F"/>
    <w:rsid w:val="002A4D71"/>
    <w:rsid w:val="002C502F"/>
    <w:rsid w:val="002D6E56"/>
    <w:rsid w:val="002E1F4E"/>
    <w:rsid w:val="002F0B5A"/>
    <w:rsid w:val="00384EB9"/>
    <w:rsid w:val="00385668"/>
    <w:rsid w:val="0038721E"/>
    <w:rsid w:val="00390F70"/>
    <w:rsid w:val="003978D4"/>
    <w:rsid w:val="003B63CD"/>
    <w:rsid w:val="003C0901"/>
    <w:rsid w:val="003C50F9"/>
    <w:rsid w:val="003E0B20"/>
    <w:rsid w:val="003E7738"/>
    <w:rsid w:val="003F7B28"/>
    <w:rsid w:val="004136A6"/>
    <w:rsid w:val="00415FD2"/>
    <w:rsid w:val="004206CD"/>
    <w:rsid w:val="0042604D"/>
    <w:rsid w:val="00467F3D"/>
    <w:rsid w:val="0047248E"/>
    <w:rsid w:val="004848F1"/>
    <w:rsid w:val="004F2CA4"/>
    <w:rsid w:val="005061C8"/>
    <w:rsid w:val="005109C0"/>
    <w:rsid w:val="00540808"/>
    <w:rsid w:val="00546B30"/>
    <w:rsid w:val="005652DC"/>
    <w:rsid w:val="005759AF"/>
    <w:rsid w:val="0057779C"/>
    <w:rsid w:val="00580091"/>
    <w:rsid w:val="00597084"/>
    <w:rsid w:val="005A1B0A"/>
    <w:rsid w:val="005A3CE4"/>
    <w:rsid w:val="005A42C4"/>
    <w:rsid w:val="005A52F4"/>
    <w:rsid w:val="005D69B8"/>
    <w:rsid w:val="005F28D7"/>
    <w:rsid w:val="006017A4"/>
    <w:rsid w:val="00610E95"/>
    <w:rsid w:val="00611698"/>
    <w:rsid w:val="0062137C"/>
    <w:rsid w:val="00632089"/>
    <w:rsid w:val="00634899"/>
    <w:rsid w:val="006623A8"/>
    <w:rsid w:val="00663ECF"/>
    <w:rsid w:val="006B5E2D"/>
    <w:rsid w:val="006C5D7E"/>
    <w:rsid w:val="006F2E1C"/>
    <w:rsid w:val="006F41A5"/>
    <w:rsid w:val="00765EBF"/>
    <w:rsid w:val="0079756C"/>
    <w:rsid w:val="007E4FFC"/>
    <w:rsid w:val="00800A9B"/>
    <w:rsid w:val="00844845"/>
    <w:rsid w:val="00845DD3"/>
    <w:rsid w:val="008555DC"/>
    <w:rsid w:val="0087018D"/>
    <w:rsid w:val="00870FEE"/>
    <w:rsid w:val="00873ACC"/>
    <w:rsid w:val="0088784F"/>
    <w:rsid w:val="008E376C"/>
    <w:rsid w:val="00976E3E"/>
    <w:rsid w:val="00991194"/>
    <w:rsid w:val="009A0F8B"/>
    <w:rsid w:val="009B4CE1"/>
    <w:rsid w:val="009C0DD6"/>
    <w:rsid w:val="009C5ACA"/>
    <w:rsid w:val="009D399B"/>
    <w:rsid w:val="009D5BF3"/>
    <w:rsid w:val="009E5298"/>
    <w:rsid w:val="009E52A9"/>
    <w:rsid w:val="009E56EC"/>
    <w:rsid w:val="00A066FD"/>
    <w:rsid w:val="00A35EA7"/>
    <w:rsid w:val="00A5245B"/>
    <w:rsid w:val="00AA5F38"/>
    <w:rsid w:val="00AA7D16"/>
    <w:rsid w:val="00AB1D5E"/>
    <w:rsid w:val="00AC4501"/>
    <w:rsid w:val="00AD2FC9"/>
    <w:rsid w:val="00B020EA"/>
    <w:rsid w:val="00B0218F"/>
    <w:rsid w:val="00B03500"/>
    <w:rsid w:val="00B52FD2"/>
    <w:rsid w:val="00B615C4"/>
    <w:rsid w:val="00B7289F"/>
    <w:rsid w:val="00B93C40"/>
    <w:rsid w:val="00B9422E"/>
    <w:rsid w:val="00B95351"/>
    <w:rsid w:val="00BA4EB2"/>
    <w:rsid w:val="00BC48AF"/>
    <w:rsid w:val="00C254EB"/>
    <w:rsid w:val="00C3722A"/>
    <w:rsid w:val="00C37C16"/>
    <w:rsid w:val="00C53AC1"/>
    <w:rsid w:val="00C57EA9"/>
    <w:rsid w:val="00C73F16"/>
    <w:rsid w:val="00C90484"/>
    <w:rsid w:val="00D000FE"/>
    <w:rsid w:val="00D263B8"/>
    <w:rsid w:val="00D2717C"/>
    <w:rsid w:val="00D32E6D"/>
    <w:rsid w:val="00D529C4"/>
    <w:rsid w:val="00D57E02"/>
    <w:rsid w:val="00D867D2"/>
    <w:rsid w:val="00DE2338"/>
    <w:rsid w:val="00DF04A8"/>
    <w:rsid w:val="00E373DC"/>
    <w:rsid w:val="00E417BB"/>
    <w:rsid w:val="00E43A03"/>
    <w:rsid w:val="00E44902"/>
    <w:rsid w:val="00E636AC"/>
    <w:rsid w:val="00E65003"/>
    <w:rsid w:val="00E7516A"/>
    <w:rsid w:val="00E828B3"/>
    <w:rsid w:val="00E866C7"/>
    <w:rsid w:val="00EA6D9B"/>
    <w:rsid w:val="00EB4539"/>
    <w:rsid w:val="00ED3BB1"/>
    <w:rsid w:val="00EF7A30"/>
    <w:rsid w:val="00F90686"/>
    <w:rsid w:val="00FA0FF8"/>
    <w:rsid w:val="00FB53E1"/>
    <w:rsid w:val="00FC24B2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5943F4"/>
  <w15:docId w15:val="{027665A4-E740-496D-8B71-EFDFBD0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229B1"/>
  </w:style>
  <w:style w:type="paragraph" w:styleId="a5">
    <w:name w:val="footer"/>
    <w:basedOn w:val="a"/>
    <w:link w:val="a6"/>
    <w:uiPriority w:val="99"/>
    <w:unhideWhenUsed/>
    <w:rsid w:val="002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229B1"/>
  </w:style>
  <w:style w:type="paragraph" w:styleId="a7">
    <w:name w:val="Balloon Text"/>
    <w:basedOn w:val="a"/>
    <w:link w:val="a8"/>
    <w:uiPriority w:val="99"/>
    <w:semiHidden/>
    <w:unhideWhenUsed/>
    <w:rsid w:val="0022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229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A0F8B"/>
    <w:pPr>
      <w:ind w:left="720"/>
      <w:contextualSpacing/>
    </w:pPr>
  </w:style>
  <w:style w:type="paragraph" w:customStyle="1" w:styleId="bodytext-heb">
    <w:name w:val="body text-heb"/>
    <w:basedOn w:val="a"/>
    <w:rsid w:val="001E4C1D"/>
    <w:pPr>
      <w:spacing w:after="0" w:line="360" w:lineRule="auto"/>
      <w:ind w:left="1134" w:right="1134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57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סגנון1"/>
    <w:uiPriority w:val="99"/>
    <w:rsid w:val="00873ACC"/>
    <w:pPr>
      <w:numPr>
        <w:numId w:val="1"/>
      </w:numPr>
    </w:pPr>
  </w:style>
  <w:style w:type="table" w:customStyle="1" w:styleId="-11">
    <w:name w:val="רשימה צבעונית - הדגשה 11"/>
    <w:aliases w:val="עדליא ציבורי 1"/>
    <w:basedOn w:val="a1"/>
    <w:uiPriority w:val="72"/>
    <w:rsid w:val="00873ACC"/>
    <w:pPr>
      <w:spacing w:after="0" w:line="240" w:lineRule="auto"/>
      <w:jc w:val="both"/>
    </w:pPr>
    <w:rPr>
      <w:rFonts w:ascii="Arial" w:eastAsiaTheme="majorEastAsia" w:hAnsi="Arial"/>
      <w:color w:val="000000"/>
      <w:lang w:bidi="en-US"/>
    </w:rPr>
    <w:tblPr>
      <w:tblStyleRowBandSize w:val="1"/>
      <w:tblStyleColBandSize w:val="1"/>
      <w:tblCellSpacing w:w="8" w:type="dxa"/>
      <w:tblInd w:w="0" w:type="nil"/>
      <w:tblCellMar>
        <w:top w:w="74" w:type="dxa"/>
        <w:bottom w:w="74" w:type="dxa"/>
      </w:tblCellMar>
    </w:tblPr>
    <w:trPr>
      <w:tblCellSpacing w:w="8" w:type="dxa"/>
    </w:trPr>
    <w:tcPr>
      <w:shd w:val="clear" w:color="auto" w:fill="EDF2F8" w:themeFill="accent1" w:themeFillTint="19"/>
    </w:tcPr>
    <w:tblStylePr w:type="firstRow">
      <w:pPr>
        <w:wordWrap/>
        <w:jc w:val="center"/>
      </w:pPr>
      <w:rPr>
        <w:rFonts w:ascii="Arial" w:hAnsi="Arial" w:cstheme="minorBidi" w:hint="default"/>
        <w:b/>
        <w:bCs/>
        <w:color w:val="FFFFFF"/>
        <w:sz w:val="24"/>
        <w:szCs w:val="24"/>
      </w:rPr>
      <w:tblPr/>
      <w:tcPr>
        <w:shd w:val="clear" w:color="auto" w:fill="EEECE1" w:themeFill="background2"/>
      </w:tcPr>
    </w:tblStylePr>
    <w:tblStylePr w:type="lastRow">
      <w:rPr>
        <w:b/>
        <w:bCs/>
        <w:color w:val="9E3A38" w:themeColor="accent2" w:themeShade="CC"/>
      </w:rPr>
      <w:tblPr/>
      <w:tcPr>
        <w:shd w:val="clear" w:color="auto" w:fill="FFFFFF"/>
      </w:tcPr>
    </w:tblStylePr>
    <w:tblStylePr w:type="firstCol">
      <w:rPr>
        <w:b/>
        <w:bCs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ascii="Arial" w:hAnsi="Arial" w:cstheme="minorHAnsi" w:hint="default"/>
        <w:sz w:val="22"/>
        <w:szCs w:val="22"/>
      </w:rPr>
      <w:tblPr/>
      <w:tcPr>
        <w:shd w:val="clear" w:color="auto" w:fill="D2DEEF"/>
      </w:tcPr>
    </w:tblStylePr>
    <w:tblStylePr w:type="band2Horz">
      <w:rPr>
        <w:rFonts w:ascii="Arial" w:hAnsi="Arial" w:cstheme="minorHAnsi" w:hint="default"/>
        <w:sz w:val="22"/>
        <w:szCs w:val="22"/>
      </w:rPr>
      <w:tblPr/>
      <w:tcPr>
        <w:shd w:val="clear" w:color="auto" w:fill="EAEFF7"/>
      </w:tcPr>
    </w:tblStylePr>
  </w:style>
  <w:style w:type="character" w:styleId="ab">
    <w:name w:val="annotation reference"/>
    <w:basedOn w:val="a0"/>
    <w:uiPriority w:val="99"/>
    <w:semiHidden/>
    <w:unhideWhenUsed/>
    <w:rsid w:val="00AA7D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7D16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AA7D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7D1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AA7D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11364</TotalTime>
  <Pages>1</Pages>
  <Words>167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Eyal Braun</cp:lastModifiedBy>
  <cp:revision>11</cp:revision>
  <cp:lastPrinted>2019-06-05T10:10:00Z</cp:lastPrinted>
  <dcterms:created xsi:type="dcterms:W3CDTF">2021-05-26T12:06:00Z</dcterms:created>
  <dcterms:modified xsi:type="dcterms:W3CDTF">2021-06-09T07:26:00Z</dcterms:modified>
</cp:coreProperties>
</file>